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67958D4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6CD6C75C">
        <w:rPr>
          <w:rFonts w:cs="Arial"/>
          <w:b/>
          <w:bCs/>
          <w:sz w:val="40"/>
          <w:szCs w:val="40"/>
          <w:lang w:eastAsia="es-ES"/>
        </w:rPr>
        <w:t xml:space="preserve">INFORMACIÓ SOBRE LOTS,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DESCRIPCIONS, JUSTIFICACIÓ DE LA LOTITZACIÓ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IMPORTS PER LOT</w:t>
      </w:r>
      <w:r w:rsidRPr="6CD6C75C">
        <w:rPr>
          <w:rFonts w:cs="Arial"/>
          <w:b/>
          <w:bCs/>
          <w:sz w:val="40"/>
          <w:szCs w:val="40"/>
          <w:lang w:eastAsia="es-ES"/>
        </w:rPr>
        <w:t>, LIMITACIONS</w:t>
      </w:r>
    </w:p>
    <w:p w14:paraId="28B99306" w14:textId="74A6D8A0" w:rsidR="6CD6C75C" w:rsidRPr="00B6423F" w:rsidRDefault="6CD6C75C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</w:p>
    <w:p w14:paraId="1C4E736E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Aquest contracte està dividit en tres lots. Per tal de facilitar la lliure concurrència, evitar</w:t>
      </w:r>
    </w:p>
    <w:p w14:paraId="2BA71597" w14:textId="126C4C1C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discriminacions i fomentar la participació de les empreses, aquestes podran presentar les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seves ofertes per qualsevol dels lots. Pel que fa als lots 1, 2 i 3 serà obligatori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presentar oferta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a la totalitat dels articles del lot.</w:t>
      </w:r>
    </w:p>
    <w:p w14:paraId="5FB08E75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43F41F37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LOT 1. PLATAFORMA INTEGRADA DATA FABRIC I COMPONENT D’ESPAI DE DADES</w:t>
      </w:r>
    </w:p>
    <w:p w14:paraId="4BAC267E" w14:textId="6904A183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Donat que es tracta d’un sistema basat en l’ús per llicències i productes es demana la contractació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de:</w:t>
      </w:r>
    </w:p>
    <w:p w14:paraId="7973A3E2" w14:textId="79FD76C3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 xml:space="preserve">- Llicències per escalar la plataforma </w:t>
      </w:r>
      <w:proofErr w:type="spellStart"/>
      <w:r w:rsidRPr="00B6423F">
        <w:rPr>
          <w:rFonts w:eastAsiaTheme="minorHAnsi" w:cs="Arial"/>
          <w:lang w:eastAsia="en-US"/>
        </w:rPr>
        <w:t>VHTeDades</w:t>
      </w:r>
      <w:proofErr w:type="spellEnd"/>
      <w:r w:rsidRPr="00B6423F">
        <w:rPr>
          <w:rFonts w:eastAsiaTheme="minorHAnsi" w:cs="Arial"/>
          <w:lang w:eastAsia="en-US"/>
        </w:rPr>
        <w:t xml:space="preserve"> actual amb la plataforma integrada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 xml:space="preserve">Data </w:t>
      </w:r>
      <w:proofErr w:type="spellStart"/>
      <w:r w:rsidRPr="00B6423F">
        <w:rPr>
          <w:rFonts w:eastAsiaTheme="minorHAnsi" w:cs="Arial"/>
          <w:lang w:eastAsia="en-US"/>
        </w:rPr>
        <w:t>Fabric</w:t>
      </w:r>
      <w:proofErr w:type="spellEnd"/>
      <w:r w:rsidRPr="00B6423F">
        <w:rPr>
          <w:rFonts w:eastAsiaTheme="minorHAnsi" w:cs="Arial"/>
          <w:lang w:eastAsia="en-US"/>
        </w:rPr>
        <w:t xml:space="preserve"> amb els requeriments detallats dels components de llinatge de dades,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producte de dades, ampliació de la capacitats d’IA generativa i subscripció</w:t>
      </w:r>
      <w:r w:rsidRPr="00B6423F">
        <w:rPr>
          <w:rFonts w:eastAsiaTheme="minorHAnsi" w:cs="Arial"/>
          <w:lang w:eastAsia="en-US"/>
        </w:rPr>
        <w:t xml:space="preserve"> </w:t>
      </w:r>
      <w:proofErr w:type="spellStart"/>
      <w:r w:rsidRPr="00B6423F">
        <w:rPr>
          <w:rFonts w:eastAsiaTheme="minorHAnsi" w:cs="Arial"/>
          <w:lang w:eastAsia="en-US"/>
        </w:rPr>
        <w:t>Cloud</w:t>
      </w:r>
      <w:proofErr w:type="spellEnd"/>
      <w:r w:rsidRPr="00B6423F">
        <w:rPr>
          <w:rFonts w:eastAsiaTheme="minorHAnsi" w:cs="Arial"/>
          <w:lang w:eastAsia="en-US"/>
        </w:rPr>
        <w:t xml:space="preserve"> per </w:t>
      </w:r>
      <w:r w:rsidRPr="00B6423F">
        <w:rPr>
          <w:rFonts w:eastAsiaTheme="minorHAnsi" w:cs="Arial"/>
          <w:lang w:eastAsia="en-US"/>
        </w:rPr>
        <w:t>un any.</w:t>
      </w:r>
    </w:p>
    <w:p w14:paraId="64632064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Llicència perpètua del component d’espai de dades.</w:t>
      </w:r>
    </w:p>
    <w:p w14:paraId="49DE8FF1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Desplegament i configuració de la solució. Posada en marxa de la solució.</w:t>
      </w:r>
    </w:p>
    <w:p w14:paraId="7A44F4CD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Subministrament de noves versions que inclogui millores de tots els components.</w:t>
      </w:r>
    </w:p>
    <w:p w14:paraId="6BD3E844" w14:textId="1335CDC8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Suport expert de tota la plataforma i noves</w:t>
      </w:r>
      <w:bookmarkStart w:id="0" w:name="_GoBack"/>
      <w:bookmarkEnd w:id="0"/>
      <w:r w:rsidRPr="00B6423F">
        <w:rPr>
          <w:rFonts w:eastAsiaTheme="minorHAnsi" w:cs="Arial"/>
          <w:lang w:eastAsia="en-US"/>
        </w:rPr>
        <w:t xml:space="preserve"> actualitza</w:t>
      </w:r>
      <w:r w:rsidRPr="00B6423F">
        <w:rPr>
          <w:rFonts w:eastAsiaTheme="minorHAnsi" w:cs="Arial"/>
          <w:lang w:eastAsia="en-US"/>
        </w:rPr>
        <w:t xml:space="preserve">cions dels components (a partir </w:t>
      </w:r>
      <w:r w:rsidRPr="00B6423F">
        <w:rPr>
          <w:rFonts w:eastAsiaTheme="minorHAnsi" w:cs="Arial"/>
          <w:lang w:eastAsia="en-US"/>
        </w:rPr>
        <w:t>d’ara suport expert).</w:t>
      </w:r>
    </w:p>
    <w:p w14:paraId="3B825B9C" w14:textId="22609155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 xml:space="preserve">- Suport funcional per a les funcionalitats de la plataforma </w:t>
      </w:r>
      <w:proofErr w:type="spellStart"/>
      <w:r w:rsidRPr="00B6423F">
        <w:rPr>
          <w:rFonts w:eastAsiaTheme="minorHAnsi" w:cs="Arial"/>
          <w:lang w:eastAsia="en-US"/>
        </w:rPr>
        <w:t>VHTeDades</w:t>
      </w:r>
      <w:proofErr w:type="spellEnd"/>
      <w:r w:rsidRPr="00B6423F">
        <w:rPr>
          <w:rFonts w:eastAsiaTheme="minorHAnsi" w:cs="Arial"/>
          <w:lang w:eastAsia="en-US"/>
        </w:rPr>
        <w:t>.</w:t>
      </w:r>
    </w:p>
    <w:p w14:paraId="6DB4267E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1046D44D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13014086" w14:textId="12242908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LOT 2. PROCESSADOR DE NOTES CLÍNIQUES</w:t>
      </w:r>
    </w:p>
    <w:p w14:paraId="65D56AD3" w14:textId="32675099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Donat que es tracta d’una solució que ha de permetre actualitza</w:t>
      </w:r>
      <w:r w:rsidRPr="00B6423F">
        <w:rPr>
          <w:rFonts w:eastAsiaTheme="minorHAnsi" w:cs="Arial"/>
          <w:lang w:eastAsia="en-US"/>
        </w:rPr>
        <w:t xml:space="preserve">cions i adaptacions als conjunt </w:t>
      </w:r>
      <w:r w:rsidRPr="00B6423F">
        <w:rPr>
          <w:rFonts w:eastAsiaTheme="minorHAnsi" w:cs="Arial"/>
          <w:lang w:eastAsia="en-US"/>
        </w:rPr>
        <w:t>de dades de l’hospital en un futur i no es tracta d’un sistema basat en l’ús per llicències, ha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d’incloure:</w:t>
      </w:r>
    </w:p>
    <w:p w14:paraId="0A37501D" w14:textId="31A3DA83" w:rsidR="005505E3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Dret d’ús per l’Institut Català de la Salut.</w:t>
      </w:r>
    </w:p>
    <w:p w14:paraId="32274588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Desplegament, configuració i posada en marxa de la solució per part del contractista.</w:t>
      </w:r>
    </w:p>
    <w:p w14:paraId="27A3480D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Suport expert de la solució.</w:t>
      </w:r>
    </w:p>
    <w:p w14:paraId="3E0FE5CD" w14:textId="45C91BC3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Suport funcional.</w:t>
      </w:r>
    </w:p>
    <w:p w14:paraId="4F3AEB45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4FCB7C4B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02EFC377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 xml:space="preserve">LOT 3: REPOSITORI </w:t>
      </w:r>
      <w:proofErr w:type="spellStart"/>
      <w:r w:rsidRPr="00B6423F">
        <w:rPr>
          <w:rFonts w:eastAsiaTheme="minorHAnsi" w:cs="Arial"/>
          <w:lang w:eastAsia="en-US"/>
        </w:rPr>
        <w:t>OpenEHR</w:t>
      </w:r>
      <w:proofErr w:type="spellEnd"/>
    </w:p>
    <w:p w14:paraId="4C83CA78" w14:textId="6D53E019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Donat que es tracta d’un sistema basat en l’ús per llicències, i per tal de garantir el suport, la</w:t>
      </w:r>
      <w:r w:rsidRPr="00B6423F">
        <w:rPr>
          <w:rFonts w:eastAsiaTheme="minorHAnsi" w:cs="Arial"/>
          <w:lang w:eastAsia="en-US"/>
        </w:rPr>
        <w:t xml:space="preserve"> </w:t>
      </w:r>
      <w:r w:rsidRPr="00B6423F">
        <w:rPr>
          <w:rFonts w:eastAsiaTheme="minorHAnsi" w:cs="Arial"/>
          <w:lang w:eastAsia="en-US"/>
        </w:rPr>
        <w:t>continuïtat i l’evolució de la plataforma es demana que s’inclogui:</w:t>
      </w:r>
    </w:p>
    <w:p w14:paraId="76FB4391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 xml:space="preserve">- Llicències de la plataforma de modelat, persistència i gestió de les dades </w:t>
      </w:r>
      <w:proofErr w:type="spellStart"/>
      <w:r w:rsidRPr="00B6423F">
        <w:rPr>
          <w:rFonts w:eastAsiaTheme="minorHAnsi" w:cs="Arial"/>
          <w:lang w:eastAsia="en-US"/>
        </w:rPr>
        <w:t>d’OpenEHR</w:t>
      </w:r>
      <w:proofErr w:type="spellEnd"/>
    </w:p>
    <w:p w14:paraId="205C1A0C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per 3 anys.</w:t>
      </w:r>
    </w:p>
    <w:p w14:paraId="08600851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Desplegament, configuració i posada en marxa de la solució per part del contractista.</w:t>
      </w:r>
    </w:p>
    <w:p w14:paraId="672BC99D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Subministrament de noves versions que inclogui millores de la plataforma</w:t>
      </w:r>
    </w:p>
    <w:p w14:paraId="15E28319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proofErr w:type="spellStart"/>
      <w:r w:rsidRPr="00B6423F">
        <w:rPr>
          <w:rFonts w:eastAsiaTheme="minorHAnsi" w:cs="Arial"/>
          <w:lang w:eastAsia="en-US"/>
        </w:rPr>
        <w:t>d’OpenEHR</w:t>
      </w:r>
      <w:proofErr w:type="spellEnd"/>
      <w:r w:rsidRPr="00B6423F">
        <w:rPr>
          <w:rFonts w:eastAsiaTheme="minorHAnsi" w:cs="Arial"/>
          <w:lang w:eastAsia="en-US"/>
        </w:rPr>
        <w:t>.</w:t>
      </w:r>
    </w:p>
    <w:p w14:paraId="2DCC219C" w14:textId="77777777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>- Suport expert de la plataforma (a partir d’ara suport expert).</w:t>
      </w:r>
    </w:p>
    <w:p w14:paraId="76029380" w14:textId="09652721" w:rsidR="002246E6" w:rsidRPr="00B6423F" w:rsidRDefault="002246E6" w:rsidP="002246E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6423F">
        <w:rPr>
          <w:rFonts w:eastAsiaTheme="minorHAnsi" w:cs="Arial"/>
          <w:lang w:eastAsia="en-US"/>
        </w:rPr>
        <w:t xml:space="preserve">- Suport funcional per a donar resposta als casos d’ús del projecte </w:t>
      </w:r>
      <w:proofErr w:type="spellStart"/>
      <w:r w:rsidRPr="00B6423F">
        <w:rPr>
          <w:rFonts w:eastAsiaTheme="minorHAnsi" w:cs="Arial"/>
          <w:lang w:eastAsia="en-US"/>
        </w:rPr>
        <w:t>VHTeDades</w:t>
      </w:r>
      <w:proofErr w:type="spellEnd"/>
      <w:r w:rsidRPr="00B6423F">
        <w:rPr>
          <w:rFonts w:eastAsiaTheme="minorHAnsi" w:cs="Arial"/>
          <w:lang w:eastAsia="en-US"/>
        </w:rPr>
        <w:t>.</w:t>
      </w:r>
    </w:p>
    <w:p w14:paraId="089AE3B9" w14:textId="77777777" w:rsidR="00B6423F" w:rsidRDefault="00B6423F" w:rsidP="002246E6">
      <w:pPr>
        <w:autoSpaceDE w:val="0"/>
        <w:autoSpaceDN w:val="0"/>
        <w:adjustRightInd w:val="0"/>
        <w:spacing w:after="0" w:line="240" w:lineRule="auto"/>
        <w:jc w:val="both"/>
        <w:rPr>
          <w:rFonts w:ascii="CIDFont+F7" w:eastAsiaTheme="minorHAnsi" w:hAnsi="CIDFont+F7" w:cs="CIDFont+F7"/>
          <w:lang w:eastAsia="en-US"/>
        </w:rPr>
      </w:pPr>
    </w:p>
    <w:p w14:paraId="74BE137D" w14:textId="3AFE85FE" w:rsidR="00B6423F" w:rsidRDefault="00B6423F" w:rsidP="002246E6">
      <w:pPr>
        <w:autoSpaceDE w:val="0"/>
        <w:autoSpaceDN w:val="0"/>
        <w:adjustRightInd w:val="0"/>
        <w:spacing w:after="0" w:line="240" w:lineRule="auto"/>
        <w:jc w:val="both"/>
        <w:rPr>
          <w:rFonts w:ascii="CIDFont+F7" w:eastAsiaTheme="minorHAnsi" w:hAnsi="CIDFont+F7" w:cs="CIDFont+F7"/>
          <w:lang w:eastAsia="en-US"/>
        </w:rPr>
      </w:pPr>
    </w:p>
    <w:p w14:paraId="5167242F" w14:textId="2BF8C084" w:rsidR="00B6423F" w:rsidRPr="00CB5187" w:rsidRDefault="00B6423F" w:rsidP="002246E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drawing>
          <wp:inline distT="0" distB="0" distL="0" distR="0" wp14:anchorId="00FE59DB" wp14:editId="33597187">
            <wp:extent cx="5400040" cy="2755900"/>
            <wp:effectExtent l="0" t="0" r="0" b="635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23F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654F1830" w:rsidR="00900292" w:rsidRDefault="002246E6">
    <w:pPr>
      <w:pStyle w:val="Peu"/>
    </w:pPr>
    <w:r>
      <w:rPr>
        <w:noProof/>
      </w:rPr>
      <w:drawing>
        <wp:inline distT="0" distB="0" distL="0" distR="0" wp14:anchorId="265FE11A" wp14:editId="7E83218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39DAF0AB" w:rsidR="00F454D8" w:rsidRDefault="002246E6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7497B66" wp14:editId="217348A7">
          <wp:simplePos x="0" y="0"/>
          <wp:positionH relativeFrom="margin">
            <wp:posOffset>-203835</wp:posOffset>
          </wp:positionH>
          <wp:positionV relativeFrom="paragraph">
            <wp:posOffset>6985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1" locked="0" layoutInCell="1" allowOverlap="1" wp14:anchorId="58478619" wp14:editId="56FE1979">
          <wp:simplePos x="0" y="0"/>
          <wp:positionH relativeFrom="column">
            <wp:posOffset>3118485</wp:posOffset>
          </wp:positionH>
          <wp:positionV relativeFrom="paragraph">
            <wp:posOffset>6985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60E7DB75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46E6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6423F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2A2C518"/>
    <w:rsid w:val="6CD6C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B9F4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53D4F-4CF7-4FC0-8520-9F6924EF4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275BF-7835-4553-93F5-DC4D9F2CF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72928-A324-4014-817B-4A916AA3F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1959</Characters>
  <Application>Microsoft Office Word</Application>
  <DocSecurity>0</DocSecurity>
  <Lines>16</Lines>
  <Paragraphs>4</Paragraphs>
  <ScaleCrop>false</ScaleCrop>
  <Company>CTTI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2023-03-10T13:21:00Z</dcterms:created>
  <dcterms:modified xsi:type="dcterms:W3CDTF">2025-11-05T12:19:00Z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